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Bono por Hijo</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Descripción</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Es un beneficio que incrementa el monto de la pensión de la mujer a través de la entrega de un</w:t>
      </w:r>
      <w:r w:rsidR="00A317A2" w:rsidRPr="00A317A2">
        <w:rPr>
          <w:color w:val="000000" w:themeColor="text1"/>
          <w:sz w:val="24"/>
          <w:szCs w:val="24"/>
          <w:lang w:eastAsia="es-CL"/>
        </w:rPr>
        <w:t xml:space="preserve"> </w:t>
      </w:r>
      <w:r w:rsidRPr="00A317A2">
        <w:rPr>
          <w:b/>
          <w:bCs/>
          <w:color w:val="000000" w:themeColor="text1"/>
          <w:sz w:val="24"/>
          <w:szCs w:val="24"/>
          <w:lang w:eastAsia="es-CL"/>
        </w:rPr>
        <w:t>bono por cada hijo nacido vivo</w:t>
      </w:r>
      <w:r w:rsidRPr="00A317A2">
        <w:rPr>
          <w:color w:val="000000" w:themeColor="text1"/>
          <w:sz w:val="24"/>
          <w:szCs w:val="24"/>
          <w:lang w:eastAsia="es-CL"/>
        </w:rPr>
        <w:t> o </w:t>
      </w:r>
      <w:r w:rsidRPr="00A317A2">
        <w:rPr>
          <w:b/>
          <w:bCs/>
          <w:color w:val="000000" w:themeColor="text1"/>
          <w:sz w:val="24"/>
          <w:szCs w:val="24"/>
          <w:lang w:eastAsia="es-CL"/>
        </w:rPr>
        <w:t>adoptado</w:t>
      </w:r>
      <w:r w:rsidRPr="00A317A2">
        <w:rPr>
          <w:color w:val="000000" w:themeColor="text1"/>
          <w:sz w:val="24"/>
          <w:szCs w:val="24"/>
          <w:lang w:eastAsia="es-CL"/>
        </w:rPr>
        <w:t>; éste no se paga al momento del nacimiento del hijo, sino que junto a su pensión.</w:t>
      </w:r>
      <w:r w:rsidR="00A317A2" w:rsidRPr="00A317A2">
        <w:rPr>
          <w:color w:val="000000" w:themeColor="text1"/>
          <w:sz w:val="24"/>
          <w:szCs w:val="24"/>
          <w:lang w:eastAsia="es-CL"/>
        </w:rPr>
        <w:t xml:space="preserve"> </w:t>
      </w:r>
      <w:r w:rsidRPr="00A317A2">
        <w:rPr>
          <w:color w:val="000000" w:themeColor="text1"/>
          <w:sz w:val="24"/>
          <w:szCs w:val="24"/>
          <w:lang w:eastAsia="es-CL"/>
        </w:rPr>
        <w:t>El bono, que se fija y comienza a generar rentabilidad desde la fecha de nacimiento del hijo y equivale al 10% de 18 </w:t>
      </w:r>
      <w:hyperlink r:id="rId6" w:tgtFrame="_blank" w:history="1">
        <w:r w:rsidRPr="00A317A2">
          <w:rPr>
            <w:color w:val="000000" w:themeColor="text1"/>
            <w:sz w:val="24"/>
            <w:szCs w:val="24"/>
            <w:lang w:eastAsia="es-CL"/>
          </w:rPr>
          <w:t>ingresos mínimos mensuales</w:t>
        </w:r>
      </w:hyperlink>
      <w:r w:rsidRPr="00A317A2">
        <w:rPr>
          <w:color w:val="000000" w:themeColor="text1"/>
          <w:sz w:val="24"/>
          <w:szCs w:val="24"/>
          <w:lang w:eastAsia="es-CL"/>
        </w:rPr>
        <w:t> (fijado para los trabajadores mayores de 18 y hasta 65 años), se calcula de la siguiente forma:</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b/>
          <w:bCs/>
          <w:color w:val="000000" w:themeColor="text1"/>
          <w:sz w:val="24"/>
          <w:szCs w:val="24"/>
          <w:lang w:eastAsia="es-CL"/>
        </w:rPr>
        <w:t>Si el hijo nació antes del 1 de julio de 2009</w:t>
      </w:r>
      <w:r w:rsidRPr="00A317A2">
        <w:rPr>
          <w:color w:val="000000" w:themeColor="text1"/>
          <w:sz w:val="24"/>
          <w:szCs w:val="24"/>
          <w:lang w:eastAsia="es-CL"/>
        </w:rPr>
        <w:t>, se aplicará el ingreso mínimo vigente en julio de 2009 ($159 mil).</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b/>
          <w:bCs/>
          <w:color w:val="000000" w:themeColor="text1"/>
          <w:sz w:val="24"/>
          <w:szCs w:val="24"/>
          <w:lang w:eastAsia="es-CL"/>
        </w:rPr>
        <w:t>Si el hijo nació después del 1 de julio de 2009</w:t>
      </w:r>
      <w:r w:rsidRPr="00A317A2">
        <w:rPr>
          <w:color w:val="000000" w:themeColor="text1"/>
          <w:sz w:val="24"/>
          <w:szCs w:val="24"/>
          <w:lang w:eastAsia="es-CL"/>
        </w:rPr>
        <w:t>, el ingreso mínimo corresponderá al monto que estaba vigente durante el mes en que nació el hijo.</w:t>
      </w: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En caso de hijos adoptados, el beneficio se generará tanto para la madre biológica como para la madre adoptiva.</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1. Beneficiarios</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Madres </w:t>
      </w:r>
      <w:r w:rsidRPr="00A317A2">
        <w:rPr>
          <w:b/>
          <w:bCs/>
          <w:color w:val="000000" w:themeColor="text1"/>
          <w:sz w:val="24"/>
          <w:szCs w:val="24"/>
          <w:lang w:eastAsia="es-CL"/>
        </w:rPr>
        <w:t>afiliadas a una AFP</w:t>
      </w:r>
      <w:r w:rsidRPr="00A317A2">
        <w:rPr>
          <w:color w:val="000000" w:themeColor="text1"/>
          <w:sz w:val="24"/>
          <w:szCs w:val="24"/>
          <w:lang w:eastAsia="es-CL"/>
        </w:rPr>
        <w:t> que obtuvieron su pensión </w:t>
      </w:r>
      <w:r w:rsidRPr="00A317A2">
        <w:rPr>
          <w:b/>
          <w:bCs/>
          <w:color w:val="000000" w:themeColor="text1"/>
          <w:sz w:val="24"/>
          <w:szCs w:val="24"/>
          <w:lang w:eastAsia="es-CL"/>
        </w:rPr>
        <w:t>a partir del 1 de julio de 2009</w:t>
      </w:r>
      <w:r w:rsidRPr="00A317A2">
        <w:rPr>
          <w:color w:val="000000" w:themeColor="text1"/>
          <w:sz w:val="24"/>
          <w:szCs w:val="24"/>
          <w:lang w:eastAsia="es-CL"/>
        </w:rPr>
        <w:t>.</w:t>
      </w: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Si adicionalmente a la pensión de la AFP reciben un </w:t>
      </w:r>
      <w:hyperlink r:id="rId7" w:tgtFrame="_blank" w:history="1">
        <w:r w:rsidRPr="00A317A2">
          <w:rPr>
            <w:color w:val="000000" w:themeColor="text1"/>
            <w:sz w:val="24"/>
            <w:szCs w:val="24"/>
            <w:lang w:eastAsia="es-CL"/>
          </w:rPr>
          <w:t>Aporte Previsional Solidario de Vejez (APSV)</w:t>
        </w:r>
      </w:hyperlink>
      <w:r w:rsidRPr="00A317A2">
        <w:rPr>
          <w:color w:val="000000" w:themeColor="text1"/>
          <w:sz w:val="24"/>
          <w:szCs w:val="24"/>
          <w:lang w:eastAsia="es-CL"/>
        </w:rPr>
        <w:t>, el </w:t>
      </w:r>
      <w:r w:rsidRPr="00A317A2">
        <w:rPr>
          <w:b/>
          <w:bCs/>
          <w:color w:val="000000" w:themeColor="text1"/>
          <w:sz w:val="24"/>
          <w:szCs w:val="24"/>
          <w:lang w:eastAsia="es-CL"/>
        </w:rPr>
        <w:t>monto que perciban por concepto del APSV podría verse afectado</w:t>
      </w:r>
      <w:r w:rsidRPr="00A317A2">
        <w:rPr>
          <w:color w:val="000000" w:themeColor="text1"/>
          <w:sz w:val="24"/>
          <w:szCs w:val="24"/>
          <w:lang w:eastAsia="es-CL"/>
        </w:rPr>
        <w:t>, ya que el Bono por Hijo incrementa el monto de la pensión de vejez (presente o futura) e incide en el cálculo del APSV.</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 xml:space="preserve">Si las beneficiarias estuviesen pensionadas y percibiendo Garantía Estatal, la AFP solicitará la suspensión de la Garantía Estatal a contar del mes siguiente de ingresados los fondos </w:t>
      </w:r>
      <w:r w:rsidR="00A317A2" w:rsidRPr="00A317A2">
        <w:rPr>
          <w:color w:val="000000" w:themeColor="text1"/>
          <w:sz w:val="24"/>
          <w:szCs w:val="24"/>
          <w:lang w:eastAsia="es-CL"/>
        </w:rPr>
        <w:t>correspondientes</w:t>
      </w:r>
      <w:r w:rsidRPr="00A317A2">
        <w:rPr>
          <w:color w:val="000000" w:themeColor="text1"/>
          <w:sz w:val="24"/>
          <w:szCs w:val="24"/>
          <w:lang w:eastAsia="es-CL"/>
        </w:rPr>
        <w:t xml:space="preserve"> al beneficio en la cuenta de capitalización individual. Una vez que se consuman los fondos generados por el Bono por Hijo y la cuenta individual quede en cero, las afiliadas podrán solicitar nuevamente la Garantía Estatal. Para estos efectos, la administradora deberá gestionar la nueva solicitud con la debida anticipación, con el propósito de procurar la continuidad del pago de la pensión.</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Madres </w:t>
      </w:r>
      <w:r w:rsidRPr="00A317A2">
        <w:rPr>
          <w:b/>
          <w:bCs/>
          <w:color w:val="000000" w:themeColor="text1"/>
          <w:sz w:val="24"/>
          <w:szCs w:val="24"/>
          <w:lang w:eastAsia="es-CL"/>
        </w:rPr>
        <w:t>titulares de una </w:t>
      </w:r>
      <w:hyperlink r:id="rId8" w:tgtFrame="_blank" w:history="1">
        <w:r w:rsidRPr="00A317A2">
          <w:rPr>
            <w:b/>
            <w:bCs/>
            <w:color w:val="000000" w:themeColor="text1"/>
            <w:sz w:val="24"/>
            <w:szCs w:val="24"/>
            <w:lang w:eastAsia="es-CL"/>
          </w:rPr>
          <w:t>Pensión Básica Solidaria de Vejez (PBSV)</w:t>
        </w:r>
      </w:hyperlink>
      <w:r w:rsidRPr="00A317A2">
        <w:rPr>
          <w:b/>
          <w:bCs/>
          <w:color w:val="000000" w:themeColor="text1"/>
          <w:sz w:val="24"/>
          <w:szCs w:val="24"/>
          <w:lang w:eastAsia="es-CL"/>
        </w:rPr>
        <w:t>,</w:t>
      </w:r>
      <w:r w:rsidRPr="00A317A2">
        <w:rPr>
          <w:color w:val="000000" w:themeColor="text1"/>
          <w:sz w:val="24"/>
          <w:szCs w:val="24"/>
          <w:lang w:eastAsia="es-CL"/>
        </w:rPr>
        <w:t> a contar del </w:t>
      </w:r>
      <w:r w:rsidRPr="00A317A2">
        <w:rPr>
          <w:b/>
          <w:bCs/>
          <w:color w:val="000000" w:themeColor="text1"/>
          <w:sz w:val="24"/>
          <w:szCs w:val="24"/>
          <w:lang w:eastAsia="es-CL"/>
        </w:rPr>
        <w:t>1 de julio de 2009</w:t>
      </w:r>
      <w:r w:rsidRPr="00A317A2">
        <w:rPr>
          <w:color w:val="000000" w:themeColor="text1"/>
          <w:sz w:val="24"/>
          <w:szCs w:val="24"/>
          <w:lang w:eastAsia="es-CL"/>
        </w:rPr>
        <w:t>.</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Las beneficiarias que pierdan la PBSV </w:t>
      </w:r>
      <w:r w:rsidRPr="00A317A2">
        <w:rPr>
          <w:b/>
          <w:bCs/>
          <w:color w:val="000000" w:themeColor="text1"/>
          <w:sz w:val="24"/>
          <w:szCs w:val="24"/>
          <w:lang w:eastAsia="es-CL"/>
        </w:rPr>
        <w:t>podrán continuar cobrando mensualmente el Bono por Hijo</w:t>
      </w:r>
      <w:r w:rsidRPr="00A317A2">
        <w:rPr>
          <w:color w:val="000000" w:themeColor="text1"/>
          <w:sz w:val="24"/>
          <w:szCs w:val="24"/>
          <w:lang w:eastAsia="es-CL"/>
        </w:rPr>
        <w:t>. Como generalmente el monto es bajo (ya que se calcula como una renta vitalicia), tienen la opción de dirigirse a un </w:t>
      </w:r>
      <w:hyperlink r:id="rId9" w:tgtFrame="_blank" w:history="1">
        <w:r w:rsidRPr="00A317A2">
          <w:rPr>
            <w:color w:val="000000" w:themeColor="text1"/>
            <w:sz w:val="24"/>
            <w:szCs w:val="24"/>
            <w:lang w:eastAsia="es-CL"/>
          </w:rPr>
          <w:t>punto de atención Chile</w:t>
        </w:r>
        <w:r w:rsidR="00A317A2">
          <w:rPr>
            <w:color w:val="000000" w:themeColor="text1"/>
            <w:sz w:val="24"/>
            <w:szCs w:val="24"/>
            <w:lang w:eastAsia="es-CL"/>
          </w:rPr>
          <w:t xml:space="preserve"> </w:t>
        </w:r>
        <w:r w:rsidRPr="00A317A2">
          <w:rPr>
            <w:color w:val="000000" w:themeColor="text1"/>
            <w:sz w:val="24"/>
            <w:szCs w:val="24"/>
            <w:lang w:eastAsia="es-CL"/>
          </w:rPr>
          <w:t>Atiende</w:t>
        </w:r>
      </w:hyperlink>
      <w:r w:rsidRPr="00A317A2">
        <w:rPr>
          <w:color w:val="000000" w:themeColor="text1"/>
          <w:sz w:val="24"/>
          <w:szCs w:val="24"/>
          <w:lang w:eastAsia="es-CL"/>
        </w:rPr>
        <w:t> para solicitar que el monto del bono se ajuste a una Pensión Básica Solidaria de Vejez (PBSV), hasta que se agoten los fondos correspondientes.</w:t>
      </w: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lastRenderedPageBreak/>
        <w:t>Madres que </w:t>
      </w:r>
      <w:r w:rsidRPr="00A317A2">
        <w:rPr>
          <w:b/>
          <w:bCs/>
          <w:color w:val="000000" w:themeColor="text1"/>
          <w:sz w:val="24"/>
          <w:szCs w:val="24"/>
          <w:lang w:eastAsia="es-CL"/>
        </w:rPr>
        <w:t>sin estar afiliadas a un régimen previsional</w:t>
      </w:r>
      <w:r w:rsidRPr="00A317A2">
        <w:rPr>
          <w:color w:val="000000" w:themeColor="text1"/>
          <w:sz w:val="24"/>
          <w:szCs w:val="24"/>
          <w:lang w:eastAsia="es-CL"/>
        </w:rPr>
        <w:t> </w:t>
      </w:r>
      <w:r w:rsidRPr="00A317A2">
        <w:rPr>
          <w:b/>
          <w:bCs/>
          <w:color w:val="000000" w:themeColor="text1"/>
          <w:sz w:val="24"/>
          <w:szCs w:val="24"/>
          <w:lang w:eastAsia="es-CL"/>
        </w:rPr>
        <w:t>reciben una Pensión de Sobrevivencia</w:t>
      </w:r>
      <w:r w:rsidRPr="00A317A2">
        <w:rPr>
          <w:color w:val="000000" w:themeColor="text1"/>
          <w:sz w:val="24"/>
          <w:szCs w:val="24"/>
          <w:lang w:eastAsia="es-CL"/>
        </w:rPr>
        <w:t> (con Aporte Previsional Solidario de Vejez) otorgada por una AFP, compañía de seguros o el Instituto de Previsión Social (IPS), </w:t>
      </w:r>
      <w:r w:rsidRPr="00A317A2">
        <w:rPr>
          <w:b/>
          <w:bCs/>
          <w:color w:val="000000" w:themeColor="text1"/>
          <w:sz w:val="24"/>
          <w:szCs w:val="24"/>
          <w:lang w:eastAsia="es-CL"/>
        </w:rPr>
        <w:t>a contar del 1 de julio de 2009</w:t>
      </w:r>
      <w:r w:rsidRPr="00A317A2">
        <w:rPr>
          <w:color w:val="000000" w:themeColor="text1"/>
          <w:sz w:val="24"/>
          <w:szCs w:val="24"/>
          <w:lang w:eastAsia="es-CL"/>
        </w:rPr>
        <w:t>.</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Las mujeres que reciben una pensión de sobrevivencia (con o sin Aporte Previsional de Vejez) desde antes del 1 de julio de 2009, o a partir de este período, pero no cuentan con el APSV </w:t>
      </w:r>
      <w:r w:rsidRPr="00A317A2">
        <w:rPr>
          <w:b/>
          <w:bCs/>
          <w:color w:val="000000" w:themeColor="text1"/>
          <w:sz w:val="24"/>
          <w:szCs w:val="24"/>
          <w:lang w:eastAsia="es-CL"/>
        </w:rPr>
        <w:t>pueden solicitar el Bono por Hijo afiliándose a una AFP</w:t>
      </w:r>
      <w:r w:rsidRPr="00A317A2">
        <w:rPr>
          <w:color w:val="000000" w:themeColor="text1"/>
          <w:sz w:val="24"/>
          <w:szCs w:val="24"/>
          <w:lang w:eastAsia="es-CL"/>
        </w:rPr>
        <w:t>. Sin embargo, </w:t>
      </w:r>
      <w:r w:rsidRPr="00A317A2">
        <w:rPr>
          <w:b/>
          <w:bCs/>
          <w:color w:val="000000" w:themeColor="text1"/>
          <w:sz w:val="24"/>
          <w:szCs w:val="24"/>
          <w:lang w:eastAsia="es-CL"/>
        </w:rPr>
        <w:t>esta afiliación genera la pérdida de la asignación por muerte</w:t>
      </w:r>
      <w:r w:rsidRPr="00A317A2">
        <w:rPr>
          <w:color w:val="000000" w:themeColor="text1"/>
          <w:sz w:val="24"/>
          <w:szCs w:val="24"/>
          <w:lang w:eastAsia="es-CL"/>
        </w:rPr>
        <w:t> si la pensionada de sobrevivencia del Instituto de Previsión Social (IPS) fallece, no así la cuota mortuoria que puede corresponder a la AFP.</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Las beneficiarias que pierdan la pensión de sobrevivencia o el APSV </w:t>
      </w:r>
      <w:r w:rsidRPr="00A317A2">
        <w:rPr>
          <w:b/>
          <w:bCs/>
          <w:color w:val="000000" w:themeColor="text1"/>
          <w:sz w:val="24"/>
          <w:szCs w:val="24"/>
          <w:lang w:eastAsia="es-CL"/>
        </w:rPr>
        <w:t>podrán continuar cobrando mensualmente el Bono por Hijo</w:t>
      </w:r>
      <w:r w:rsidRPr="00A317A2">
        <w:rPr>
          <w:color w:val="000000" w:themeColor="text1"/>
          <w:sz w:val="24"/>
          <w:szCs w:val="24"/>
          <w:lang w:eastAsia="es-CL"/>
        </w:rPr>
        <w:t>. Como generalmente el monto es bajo, tienen la opción de dirigirse a un </w:t>
      </w:r>
      <w:hyperlink r:id="rId10" w:tgtFrame="_blank" w:history="1">
        <w:r w:rsidRPr="00A317A2">
          <w:rPr>
            <w:color w:val="000000" w:themeColor="text1"/>
            <w:sz w:val="24"/>
            <w:szCs w:val="24"/>
            <w:lang w:eastAsia="es-CL"/>
          </w:rPr>
          <w:t>punto de atención Chile</w:t>
        </w:r>
        <w:r w:rsidR="00A317A2">
          <w:rPr>
            <w:color w:val="000000" w:themeColor="text1"/>
            <w:sz w:val="24"/>
            <w:szCs w:val="24"/>
            <w:lang w:eastAsia="es-CL"/>
          </w:rPr>
          <w:t xml:space="preserve"> </w:t>
        </w:r>
        <w:bookmarkStart w:id="0" w:name="_GoBack"/>
        <w:bookmarkEnd w:id="0"/>
        <w:r w:rsidRPr="00A317A2">
          <w:rPr>
            <w:color w:val="000000" w:themeColor="text1"/>
            <w:sz w:val="24"/>
            <w:szCs w:val="24"/>
            <w:lang w:eastAsia="es-CL"/>
          </w:rPr>
          <w:t>Atiende</w:t>
        </w:r>
      </w:hyperlink>
      <w:r w:rsidRPr="00A317A2">
        <w:rPr>
          <w:color w:val="000000" w:themeColor="text1"/>
          <w:sz w:val="24"/>
          <w:szCs w:val="24"/>
          <w:lang w:eastAsia="es-CL"/>
        </w:rPr>
        <w:t> para solicitar que el monto del bono se ajuste a una Pensión Básica Solidaria de Vejez (PBSV), hasta que se agoten los fondos correspondientes.</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b/>
          <w:bCs/>
          <w:color w:val="000000" w:themeColor="text1"/>
          <w:sz w:val="24"/>
          <w:szCs w:val="24"/>
          <w:lang w:eastAsia="es-CL"/>
        </w:rPr>
      </w:pPr>
      <w:r w:rsidRPr="00A317A2">
        <w:rPr>
          <w:b/>
          <w:bCs/>
          <w:color w:val="000000" w:themeColor="text1"/>
          <w:sz w:val="24"/>
          <w:szCs w:val="24"/>
          <w:lang w:eastAsia="es-CL"/>
        </w:rPr>
        <w:t>Estas mujeres deben:</w:t>
      </w:r>
    </w:p>
    <w:p w:rsidR="00A317A2" w:rsidRPr="00A317A2" w:rsidRDefault="00A317A2" w:rsidP="00A317A2">
      <w:pPr>
        <w:pStyle w:val="Sinespaciado"/>
        <w:jc w:val="both"/>
        <w:rPr>
          <w:color w:val="000000" w:themeColor="text1"/>
          <w:sz w:val="24"/>
          <w:szCs w:val="24"/>
          <w:lang w:eastAsia="es-CL"/>
        </w:rPr>
      </w:pP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Tener </w:t>
      </w:r>
      <w:hyperlink r:id="rId11" w:tgtFrame="_blank" w:history="1">
        <w:r w:rsidRPr="00A317A2">
          <w:rPr>
            <w:b/>
            <w:bCs/>
            <w:color w:val="000000" w:themeColor="text1"/>
            <w:sz w:val="24"/>
            <w:szCs w:val="24"/>
            <w:lang w:eastAsia="es-CL"/>
          </w:rPr>
          <w:t>clave única</w:t>
        </w:r>
      </w:hyperlink>
      <w:r w:rsidRPr="00A317A2">
        <w:rPr>
          <w:color w:val="000000" w:themeColor="text1"/>
          <w:sz w:val="24"/>
          <w:szCs w:val="24"/>
          <w:lang w:eastAsia="es-CL"/>
        </w:rPr>
        <w:t> (sólo si el trámite es realizado </w:t>
      </w:r>
      <w:r w:rsidRPr="00A317A2">
        <w:rPr>
          <w:b/>
          <w:bCs/>
          <w:color w:val="000000" w:themeColor="text1"/>
          <w:sz w:val="24"/>
          <w:szCs w:val="24"/>
          <w:lang w:eastAsia="es-CL"/>
        </w:rPr>
        <w:t>en línea</w:t>
      </w:r>
      <w:r w:rsidRPr="00A317A2">
        <w:rPr>
          <w:color w:val="000000" w:themeColor="text1"/>
          <w:sz w:val="24"/>
          <w:szCs w:val="24"/>
          <w:lang w:eastAsia="es-CL"/>
        </w:rPr>
        <w:t>).</w:t>
      </w: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Tener </w:t>
      </w:r>
      <w:r w:rsidRPr="00A317A2">
        <w:rPr>
          <w:b/>
          <w:bCs/>
          <w:color w:val="000000" w:themeColor="text1"/>
          <w:sz w:val="24"/>
          <w:szCs w:val="24"/>
          <w:lang w:eastAsia="es-CL"/>
        </w:rPr>
        <w:t>65 años de edad</w:t>
      </w:r>
      <w:r w:rsidRPr="00A317A2">
        <w:rPr>
          <w:color w:val="000000" w:themeColor="text1"/>
          <w:sz w:val="24"/>
          <w:szCs w:val="24"/>
          <w:lang w:eastAsia="es-CL"/>
        </w:rPr>
        <w:t> o más.</w:t>
      </w: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Residir en territorio chileno </w:t>
      </w:r>
      <w:r w:rsidRPr="00A317A2">
        <w:rPr>
          <w:b/>
          <w:bCs/>
          <w:color w:val="000000" w:themeColor="text1"/>
          <w:sz w:val="24"/>
          <w:szCs w:val="24"/>
          <w:lang w:eastAsia="es-CL"/>
        </w:rPr>
        <w:t>por un período de 20 años</w:t>
      </w:r>
      <w:r w:rsidRPr="00A317A2">
        <w:rPr>
          <w:color w:val="000000" w:themeColor="text1"/>
          <w:sz w:val="24"/>
          <w:szCs w:val="24"/>
          <w:lang w:eastAsia="es-CL"/>
        </w:rPr>
        <w:t> (continuos o discontinuos), contados desde que la beneficiaria cumplió 20 años. Asimismo, tiene que haber residido en Chile al menos cuatro años durante los últimos cinco años anteriores a la solicitud del bono.</w:t>
      </w:r>
    </w:p>
    <w:p w:rsidR="004B49B0" w:rsidRPr="00A317A2" w:rsidRDefault="004B49B0" w:rsidP="00A317A2">
      <w:pPr>
        <w:pStyle w:val="Sinespaciado"/>
        <w:jc w:val="both"/>
        <w:rPr>
          <w:color w:val="000000" w:themeColor="text1"/>
          <w:sz w:val="24"/>
          <w:szCs w:val="24"/>
          <w:lang w:eastAsia="es-CL"/>
        </w:rPr>
      </w:pPr>
      <w:r w:rsidRPr="00A317A2">
        <w:rPr>
          <w:color w:val="000000" w:themeColor="text1"/>
          <w:sz w:val="24"/>
          <w:szCs w:val="24"/>
          <w:lang w:eastAsia="es-CL"/>
        </w:rPr>
        <w:t>A las madres que fueron exiliadas y se encuentran registradas en la Oficina de Retorno y Oficina Diplomática, se les considerará tanto el tiempo que vivieron en el extranjero como el residido en Chile.</w:t>
      </w:r>
    </w:p>
    <w:p w:rsidR="000A47CB" w:rsidRDefault="00A317A2" w:rsidP="00A317A2">
      <w:pPr>
        <w:pStyle w:val="Sinespaciado"/>
        <w:jc w:val="both"/>
      </w:pPr>
    </w:p>
    <w:sectPr w:rsidR="000A47C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F2EDC"/>
    <w:multiLevelType w:val="multilevel"/>
    <w:tmpl w:val="E75E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EF06B6"/>
    <w:multiLevelType w:val="multilevel"/>
    <w:tmpl w:val="62605C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7E32AB2"/>
    <w:multiLevelType w:val="multilevel"/>
    <w:tmpl w:val="4B5E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9B0"/>
    <w:rsid w:val="004B49B0"/>
    <w:rsid w:val="00741FC4"/>
    <w:rsid w:val="00A317A2"/>
    <w:rsid w:val="00CF123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77421-EDB4-45C5-A333-E2574971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317A2"/>
    <w:pPr>
      <w:spacing w:after="0" w:line="240" w:lineRule="auto"/>
    </w:pPr>
  </w:style>
  <w:style w:type="paragraph" w:styleId="Textodeglobo">
    <w:name w:val="Balloon Text"/>
    <w:basedOn w:val="Normal"/>
    <w:link w:val="TextodegloboCar"/>
    <w:uiPriority w:val="99"/>
    <w:semiHidden/>
    <w:unhideWhenUsed/>
    <w:rsid w:val="00A317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17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332453">
      <w:bodyDiv w:val="1"/>
      <w:marLeft w:val="0"/>
      <w:marRight w:val="0"/>
      <w:marTop w:val="0"/>
      <w:marBottom w:val="0"/>
      <w:divBdr>
        <w:top w:val="none" w:sz="0" w:space="0" w:color="auto"/>
        <w:left w:val="none" w:sz="0" w:space="0" w:color="auto"/>
        <w:bottom w:val="none" w:sz="0" w:space="0" w:color="auto"/>
        <w:right w:val="none" w:sz="0" w:space="0" w:color="auto"/>
      </w:divBdr>
      <w:divsChild>
        <w:div w:id="1814635025">
          <w:marLeft w:val="0"/>
          <w:marRight w:val="0"/>
          <w:marTop w:val="0"/>
          <w:marBottom w:val="0"/>
          <w:divBdr>
            <w:top w:val="none" w:sz="0" w:space="0" w:color="auto"/>
            <w:left w:val="none" w:sz="0" w:space="0" w:color="auto"/>
            <w:bottom w:val="none" w:sz="0" w:space="0" w:color="auto"/>
            <w:right w:val="none" w:sz="0" w:space="0" w:color="auto"/>
          </w:divBdr>
        </w:div>
      </w:divsChild>
    </w:div>
    <w:div w:id="1014500944">
      <w:bodyDiv w:val="1"/>
      <w:marLeft w:val="0"/>
      <w:marRight w:val="0"/>
      <w:marTop w:val="0"/>
      <w:marBottom w:val="0"/>
      <w:divBdr>
        <w:top w:val="none" w:sz="0" w:space="0" w:color="auto"/>
        <w:left w:val="none" w:sz="0" w:space="0" w:color="auto"/>
        <w:bottom w:val="none" w:sz="0" w:space="0" w:color="auto"/>
        <w:right w:val="none" w:sz="0" w:space="0" w:color="auto"/>
      </w:divBdr>
    </w:div>
    <w:div w:id="167622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eatiende.cl/fichas/ver/52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hileatiende.cl/fichas/ver/519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t.gob.cl/consultas/1613/w3-article-60141.html" TargetMode="External"/><Relationship Id="rId11" Type="http://schemas.openxmlformats.org/officeDocument/2006/relationships/hyperlink" Target="http://www.chileatiende.cl/fichas/ver/11331" TargetMode="External"/><Relationship Id="rId5" Type="http://schemas.openxmlformats.org/officeDocument/2006/relationships/webSettings" Target="webSettings.xml"/><Relationship Id="rId10" Type="http://schemas.openxmlformats.org/officeDocument/2006/relationships/hyperlink" Target="http://www.chileatiende.cl/oficinas" TargetMode="External"/><Relationship Id="rId4" Type="http://schemas.openxmlformats.org/officeDocument/2006/relationships/settings" Target="settings.xml"/><Relationship Id="rId9" Type="http://schemas.openxmlformats.org/officeDocument/2006/relationships/hyperlink" Target="http://www.chileatiende.cl/oficin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4C392-6B7C-45F9-BA0C-DF5194791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682</Words>
  <Characters>3751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BlueDeep 2010</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Cesar Dorador Tovar</dc:creator>
  <cp:keywords/>
  <dc:description/>
  <cp:lastModifiedBy>Cesar Dorador Tovar</cp:lastModifiedBy>
  <cp:revision>2</cp:revision>
  <cp:lastPrinted>2014-04-25T02:28:00Z</cp:lastPrinted>
  <dcterms:created xsi:type="dcterms:W3CDTF">2014-04-24T03:30:00Z</dcterms:created>
  <dcterms:modified xsi:type="dcterms:W3CDTF">2014-04-25T02:29:00Z</dcterms:modified>
</cp:coreProperties>
</file>